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0C" w:rsidRDefault="00600D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8"/>
        <w:tblW w:w="15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3550"/>
        <w:gridCol w:w="1425"/>
        <w:gridCol w:w="3749"/>
        <w:gridCol w:w="992"/>
        <w:gridCol w:w="1776"/>
        <w:gridCol w:w="1302"/>
        <w:gridCol w:w="1458"/>
        <w:gridCol w:w="1118"/>
      </w:tblGrid>
      <w:tr w:rsidR="00600D0C" w:rsidRPr="001A7CB0" w:rsidTr="001A7CB0">
        <w:trPr>
          <w:trHeight w:val="233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 xml:space="preserve">Ait Olduğu Birim: </w:t>
            </w:r>
            <w:r w:rsidRPr="001A7CB0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 </w:t>
            </w:r>
            <w:r w:rsidR="0013593B" w:rsidRPr="001A7CB0">
              <w:rPr>
                <w:rFonts w:ascii="Arial Narrow" w:eastAsia="Calibri" w:hAnsi="Arial Narrow" w:cs="Calibri"/>
                <w:sz w:val="20"/>
                <w:szCs w:val="20"/>
              </w:rPr>
              <w:t>Sosyal Bilimler MYO</w:t>
            </w:r>
          </w:p>
        </w:tc>
        <w:tc>
          <w:tcPr>
            <w:tcW w:w="6646" w:type="dxa"/>
            <w:gridSpan w:val="5"/>
            <w:shd w:val="clear" w:color="auto" w:fill="auto"/>
            <w:vAlign w:val="center"/>
          </w:tcPr>
          <w:p w:rsidR="00600D0C" w:rsidRPr="001A7CB0" w:rsidRDefault="009773CC" w:rsidP="00CC2546">
            <w:pPr>
              <w:spacing w:line="240" w:lineRule="auto"/>
              <w:ind w:leftChars="0" w:left="0" w:firstLineChars="0" w:firstLine="0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 xml:space="preserve">Takip Dönemi: </w:t>
            </w:r>
            <w:r w:rsidRPr="001A7CB0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20</w:t>
            </w:r>
            <w:r w:rsidR="0079670F">
              <w:rPr>
                <w:rFonts w:ascii="Arial Narrow" w:eastAsia="Calibri" w:hAnsi="Arial Narrow" w:cs="Calibri"/>
                <w:sz w:val="20"/>
                <w:szCs w:val="20"/>
              </w:rPr>
              <w:t>24</w:t>
            </w:r>
            <w:r w:rsidRPr="001A7CB0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-20</w:t>
            </w:r>
            <w:r w:rsidR="0079670F">
              <w:rPr>
                <w:rFonts w:ascii="Arial Narrow" w:eastAsia="Calibri" w:hAnsi="Arial Narrow" w:cs="Calibri"/>
                <w:sz w:val="20"/>
                <w:szCs w:val="20"/>
              </w:rPr>
              <w:t>25</w:t>
            </w:r>
            <w:r w:rsidR="00CC2546" w:rsidRPr="001A7CB0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 Eğitim-</w:t>
            </w:r>
            <w:r w:rsidRPr="001A7CB0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Öğretim Yılı </w:t>
            </w:r>
            <w:r w:rsidR="0079670F">
              <w:rPr>
                <w:rFonts w:ascii="Arial Narrow" w:eastAsia="Calibri" w:hAnsi="Arial Narrow" w:cs="Calibri"/>
                <w:sz w:val="20"/>
                <w:szCs w:val="20"/>
              </w:rPr>
              <w:t>Bahar ve 2025-2026</w:t>
            </w:r>
            <w:r w:rsidR="00CC2546" w:rsidRPr="001A7CB0">
              <w:rPr>
                <w:rFonts w:ascii="Arial Narrow" w:eastAsia="Calibri" w:hAnsi="Arial Narrow" w:cs="Calibri"/>
                <w:sz w:val="20"/>
                <w:szCs w:val="20"/>
              </w:rPr>
              <w:t xml:space="preserve"> Eğitim-Öğretim Yılı Güz </w:t>
            </w:r>
            <w:r w:rsidR="00CC2546" w:rsidRPr="001A7CB0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Dönemleri</w:t>
            </w:r>
          </w:p>
        </w:tc>
      </w:tr>
      <w:tr w:rsidR="00A81DE1" w:rsidRPr="001A7CB0" w:rsidTr="005C433A">
        <w:trPr>
          <w:trHeight w:val="1134"/>
          <w:jc w:val="center"/>
        </w:trPr>
        <w:tc>
          <w:tcPr>
            <w:tcW w:w="485" w:type="dxa"/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b/>
                <w:sz w:val="18"/>
                <w:szCs w:val="18"/>
              </w:rPr>
              <w:t>S.No</w:t>
            </w:r>
          </w:p>
        </w:tc>
        <w:tc>
          <w:tcPr>
            <w:tcW w:w="355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sz w:val="20"/>
                <w:szCs w:val="20"/>
              </w:rPr>
              <w:t>Uygunsuzluğun Tanımı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Uygunsuzluk Kaynağı</w:t>
            </w:r>
          </w:p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  <w:t>* Öğrenci/ Çalışan/ Birim /Paydaş Geri Bildirimi</w:t>
            </w:r>
          </w:p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  <w:t>* Dış Tetkik / * İç Tetkik</w:t>
            </w:r>
          </w:p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  <w:t>* Performans Ölçümü</w:t>
            </w:r>
          </w:p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  <w:t>* Memnuniyet Analizi</w:t>
            </w:r>
          </w:p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12"/>
                <w:szCs w:val="12"/>
              </w:rPr>
              <w:t>* Diğer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Uygunsuzluğun Giderilmesi Kapsamında Yapılacaklar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1776" w:type="dxa"/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Gerçekleştirme Sorumlusu (Kişi/Birim/Komisyon /Kurul vb.)</w:t>
            </w:r>
          </w:p>
        </w:tc>
        <w:tc>
          <w:tcPr>
            <w:tcW w:w="1302" w:type="dxa"/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Takip Sorumlusu (Kişi/Birim/</w:t>
            </w:r>
            <w:r w:rsid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Komisyon/</w:t>
            </w:r>
            <w:r w:rsid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Kurul vb.)</w:t>
            </w:r>
          </w:p>
        </w:tc>
        <w:tc>
          <w:tcPr>
            <w:tcW w:w="1458" w:type="dxa"/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Açıklama / Gözden Geçirme</w:t>
            </w:r>
          </w:p>
        </w:tc>
        <w:tc>
          <w:tcPr>
            <w:tcW w:w="1118" w:type="dxa"/>
            <w:shd w:val="clear" w:color="auto" w:fill="A6A6A6"/>
            <w:vAlign w:val="center"/>
          </w:tcPr>
          <w:p w:rsidR="00600D0C" w:rsidRPr="001A7CB0" w:rsidRDefault="009773CC" w:rsidP="00A81DE1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Giderildi mi? (Evet/Hayır)</w:t>
            </w:r>
          </w:p>
        </w:tc>
      </w:tr>
      <w:tr w:rsidR="0079670F" w:rsidRPr="001A7CB0" w:rsidTr="000E292C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79670F" w:rsidRPr="001A7CB0" w:rsidRDefault="0079670F" w:rsidP="0079670F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1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79670F" w:rsidRPr="0079670F" w:rsidRDefault="0079670F" w:rsidP="0079670F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Kampüste öğrencilere yönelik sosyal, kültürel etkinlikler yeterlidir.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0F" w:rsidRPr="001A7CB0" w:rsidRDefault="0079670F" w:rsidP="0079670F">
            <w:pPr>
              <w:spacing w:line="240" w:lineRule="auto"/>
              <w:ind w:leftChars="0" w:left="0" w:firstLineChars="0" w:firstLine="0"/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79670F" w:rsidRPr="0079670F" w:rsidRDefault="0079670F" w:rsidP="0079670F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Kampüsümüzde öğrencilere yönelik en az bir tane sosyal, kültürel etkinlik yapılacak,  hem web sayfamızdan hem de Yüksekokulumuzun sosyal medya hesaplarından öğrencilere duyurulacaktır.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670F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</w:t>
            </w:r>
            <w:r w:rsidR="0079670F" w:rsidRPr="001A7CB0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.02.202</w:t>
            </w:r>
            <w:r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5</w:t>
            </w:r>
            <w:r w:rsidR="0079670F" w:rsidRPr="001A7CB0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3</w:t>
            </w:r>
            <w:r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1</w:t>
            </w:r>
            <w:r w:rsidR="0079670F" w:rsidRPr="001A7CB0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.1</w:t>
            </w:r>
            <w:r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</w:t>
            </w:r>
            <w:r w:rsidR="0079670F" w:rsidRPr="001A7CB0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.202</w:t>
            </w:r>
            <w:r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Align w:val="center"/>
          </w:tcPr>
          <w:p w:rsidR="0079670F" w:rsidRPr="001A7CB0" w:rsidRDefault="000C0375" w:rsidP="0079670F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Calibri" w:hAnsi="Arial Narrow" w:cstheme="majorHAnsi"/>
                <w:sz w:val="20"/>
                <w:szCs w:val="20"/>
              </w:rPr>
              <w:t>MYO Yönetimi</w:t>
            </w:r>
          </w:p>
        </w:tc>
        <w:tc>
          <w:tcPr>
            <w:tcW w:w="1302" w:type="dxa"/>
            <w:vAlign w:val="center"/>
          </w:tcPr>
          <w:p w:rsidR="0079670F" w:rsidRPr="001A7CB0" w:rsidRDefault="0079670F" w:rsidP="0079670F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79670F" w:rsidRPr="001A7CB0" w:rsidRDefault="0079670F" w:rsidP="0079670F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9670F" w:rsidRPr="001A7CB0" w:rsidRDefault="0079670F" w:rsidP="0079670F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2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Kampüste öğrencilere yönelik sportif etkinlikler yeterlidir.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Kampüsümüzde ö</w:t>
            </w:r>
            <w:r w:rsidRPr="007967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ğrencilere yönelik en az bir tane sportif etkinlik yapılacak,  hem web sayfamızdan hem de Yüksekokulumuzun sosyal medya hesaplarından öğrencilere duyurulacaktır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0C0375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sz w:val="20"/>
                <w:szCs w:val="20"/>
              </w:rPr>
              <w:t>MYO Yönetimi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3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Kampüste öğrencilere yönelik bütün faaliyetlerle ilgili duyurular yeterlidir.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Kampüsümüzde öğrencilere yönelik bütün faaliyetlerle ilgili duyurular </w:t>
            </w:r>
            <w:r w:rsidRPr="007967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hem web sayfamızdan hem de Yüksekokulumuzun sosyal medya hesaplarından</w:t>
            </w: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ilan edilecektir.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Birim Web Sayfası Sorumlusu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4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Kampüsün sosyal mekânları (kantin, kafeterya, büfe, v.b.) yeterlidir.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Bütçe ve kampüs alanı yetersizliği nedeniyle iyileştirme planı yapılamamaktadır.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5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Kampüsün spor tesisleri ihtiyacı karşılayacak yeterliktedir.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Bütçe ve kampüs alanı yetersizliği nedeniyle iyileştirme planı yapılamamaktadır.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6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Kampüste sağlanan güvenlik hizmetleri yeterlidir.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Mesai saatleri içerisinde nöbet tutan güvenlik personeli sayısı arttırılacaktır.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Kampüste genel kullanıma açık alanlar (bahçe, park yerleri, spor alanları, tuvaletler vb.) temiz ve bakımlıdır.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Kampüsümüzde genel kullanıma açık alanları te</w:t>
            </w:r>
            <w:r w:rsidR="00F92A86">
              <w:rPr>
                <w:rFonts w:ascii="Arial Narrow" w:hAnsi="Arial Narrow" w:cs="Arial"/>
                <w:color w:val="000000"/>
                <w:sz w:val="20"/>
                <w:szCs w:val="20"/>
              </w:rPr>
              <w:t>mizleyen personel uyarılaca</w:t>
            </w:r>
            <w:r w:rsidR="000C0375">
              <w:rPr>
                <w:rFonts w:ascii="Arial Narrow" w:hAnsi="Arial Narrow" w:cs="Arial"/>
                <w:color w:val="000000"/>
                <w:sz w:val="20"/>
                <w:szCs w:val="20"/>
              </w:rPr>
              <w:t>k</w:t>
            </w:r>
            <w:r w:rsidR="00F92A8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ve</w:t>
            </w:r>
            <w:r w:rsidR="000C037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gün içerisinde belirli aralıklarla temizlik kontrolü yapılacaktır.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8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ind w:left="0" w:hanging="2"/>
              <w:rPr>
                <w:rFonts w:ascii="Arial Narrow" w:hAnsi="Arial Narrow"/>
                <w:b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Öğrenim gördüğüm Kampüste ya da yakın çevresinde fotokopi, kırtasiye vb. genel ihtiyacı karşılayacak nitelikte hizmetler yeterlidir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Mevzuat gereği öğrenciye ücret karşılığında fotokopi hizmeti sunulamamaktadır. Kampüsümüzde bulunan kantinde fotokopi hizmeti verilmesi için </w:t>
            </w:r>
            <w:r w:rsidR="008A637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tekrar </w:t>
            </w:r>
            <w:r w:rsidRPr="007967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girişimde bulunulacaktır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9</w:t>
            </w:r>
          </w:p>
        </w:tc>
        <w:tc>
          <w:tcPr>
            <w:tcW w:w="3550" w:type="dxa"/>
            <w:tcBorders>
              <w:right w:val="single" w:sz="6" w:space="0" w:color="4BACC6"/>
            </w:tcBorders>
            <w:vAlign w:val="center"/>
          </w:tcPr>
          <w:p w:rsidR="00C25A2E" w:rsidRPr="0079670F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Öğrencisi olduğum fakülte/yüksekokulda "öğrenci işleri" tarafından sağlanan hizmetler yeterlidir.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79670F" w:rsidRDefault="00C25A2E" w:rsidP="00C25A2E">
            <w:pPr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Yüksekokulumuz öğrenci işleri personelinin hizmet kalitesinin arttırılması konusunda b</w:t>
            </w:r>
            <w:r w:rsidR="008A637F">
              <w:rPr>
                <w:rFonts w:ascii="Arial Narrow" w:hAnsi="Arial Narrow" w:cs="Arial"/>
                <w:color w:val="000000"/>
                <w:sz w:val="20"/>
                <w:szCs w:val="20"/>
              </w:rPr>
              <w:t>ilinçlendirilmesi sağlanacak ve anket sonuçları yazı ile tebliğ edilecektir.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10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Dersler düzenli olarak yapılmaktadır.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shd w:val="clear" w:color="auto" w:fill="auto"/>
          </w:tcPr>
          <w:p w:rsidR="00C25A2E" w:rsidRPr="00C25A2E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25A2E">
              <w:rPr>
                <w:rFonts w:ascii="Arial Narrow" w:hAnsi="Arial Narrow" w:cs="Arial"/>
                <w:color w:val="000000"/>
                <w:sz w:val="20"/>
                <w:szCs w:val="20"/>
              </w:rPr>
              <w:t>Memnuniyet anket sonuçları Akademik Kurul Toplantılarında da değerlendirilerek, öğretim elemanlarının dersleri düzenli olarak yapmaları konusunda bilgilendirme yapılacaktır.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563B12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11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Dersler açıklanan plana göre işlenir.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shd w:val="clear" w:color="auto" w:fill="auto"/>
          </w:tcPr>
          <w:p w:rsidR="00C25A2E" w:rsidRPr="00C25A2E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25A2E">
              <w:rPr>
                <w:rFonts w:ascii="Arial Narrow" w:hAnsi="Arial Narrow" w:cs="Arial"/>
                <w:color w:val="000000"/>
                <w:sz w:val="20"/>
                <w:szCs w:val="20"/>
              </w:rPr>
              <w:t>Memnuniyet anket sonuçları Akademik Kurul Toplantılarında da değerlen</w:t>
            </w:r>
            <w:r w:rsidR="00563B12">
              <w:rPr>
                <w:rFonts w:ascii="Arial Narrow" w:hAnsi="Arial Narrow" w:cs="Arial"/>
                <w:color w:val="000000"/>
                <w:sz w:val="20"/>
                <w:szCs w:val="20"/>
              </w:rPr>
              <w:t>dirilerek, öğretim elemanları</w:t>
            </w:r>
            <w:r w:rsidRPr="00C25A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dersleri</w:t>
            </w:r>
            <w:r w:rsidR="00563B1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C25A2E">
              <w:rPr>
                <w:rFonts w:ascii="Arial Narrow" w:hAnsi="Arial Narrow" w:cs="Arial"/>
                <w:color w:val="000000"/>
                <w:sz w:val="20"/>
                <w:szCs w:val="20"/>
              </w:rPr>
              <w:t>açıklanan plana göre işlemeleri konusunda uyarılacaktır.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12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Dersler güncel bilgileri içermektedir.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shd w:val="clear" w:color="auto" w:fill="auto"/>
          </w:tcPr>
          <w:p w:rsidR="00C25A2E" w:rsidRPr="00C25A2E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25A2E">
              <w:rPr>
                <w:rFonts w:ascii="Arial Narrow" w:hAnsi="Arial Narrow" w:cs="Arial"/>
                <w:color w:val="000000"/>
                <w:sz w:val="20"/>
                <w:szCs w:val="20"/>
              </w:rPr>
              <w:t>Memnuniyet anket sonuçları Akademik Kurul Toplantılarında da değerlendirilerek, öğretim elemanlarının dersleri güncel bilgileri içerecek şekilde revize etmeleri sağlanacaktır.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C25A2E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13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C25A2E" w:rsidRPr="0079670F" w:rsidRDefault="00C25A2E" w:rsidP="00C25A2E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Dersler için sunulan temel ve yardımcı kaynaklar günceldir.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shd w:val="clear" w:color="auto" w:fill="auto"/>
            <w:vAlign w:val="center"/>
          </w:tcPr>
          <w:p w:rsidR="00C25A2E" w:rsidRPr="00C25A2E" w:rsidRDefault="00C25A2E" w:rsidP="00C25A2E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25A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Memnuniyet anket sonuçları Akademik Kurul Toplantılarında da değerlendirilerek, öğretim elemanlarının dersler için sunulan temel ve </w:t>
            </w:r>
            <w:r w:rsidRPr="00C25A2E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yardımcı kaynakları güncel tutmaları yönünde bilgilendirilecektir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5A2E" w:rsidRDefault="00C25A2E" w:rsidP="00C25A2E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lastRenderedPageBreak/>
              <w:t>03.02.202531.10.2025</w:t>
            </w:r>
          </w:p>
        </w:tc>
        <w:tc>
          <w:tcPr>
            <w:tcW w:w="1776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5A2E" w:rsidRPr="001A7CB0" w:rsidRDefault="00C25A2E" w:rsidP="00C25A2E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B625E3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B625E3" w:rsidRPr="0079670F" w:rsidRDefault="00B625E3" w:rsidP="00B625E3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Üniversitemizde öğrencilere yönelik yürütülen yurtdışı eğitim programları (ERASMUS, SECONDOS, staj vb.) hakkında yeterli bilgilendirme yapılmaktadır.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shd w:val="clear" w:color="auto" w:fill="auto"/>
            <w:vAlign w:val="center"/>
          </w:tcPr>
          <w:p w:rsidR="00B625E3" w:rsidRPr="00C25A2E" w:rsidRDefault="00B625E3" w:rsidP="00B625E3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25A2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Öğrencilerimize yönelik yürütülen yurtdışı eğitim programları (ERASMUS, SECONDOS, staj vb.) hakkında Birimimizde yetkili olan personel ve Uluslararası Akademik İlişkiler Koordinatörlüğü (UAİK)  ile işbirliğinde bilgilendirme faaliyetleri artırılacaktır.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625E3" w:rsidRDefault="00B625E3" w:rsidP="00B625E3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B625E3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15</w:t>
            </w:r>
          </w:p>
        </w:tc>
        <w:tc>
          <w:tcPr>
            <w:tcW w:w="3550" w:type="dxa"/>
            <w:tcBorders>
              <w:right w:val="single" w:sz="6" w:space="0" w:color="4BACC6"/>
            </w:tcBorders>
          </w:tcPr>
          <w:p w:rsidR="00B625E3" w:rsidRPr="0079670F" w:rsidRDefault="00B625E3" w:rsidP="00B625E3">
            <w:pPr>
              <w:spacing w:before="20" w:after="20" w:line="276" w:lineRule="auto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Üniversitemizde öğrencilere yönelik yürütülen yurtiçi eğitim programları (FARABİ) hakkında yeterli bilgilendirme yapılmaktadır.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right w:val="single" w:sz="6" w:space="0" w:color="4BACC6"/>
            </w:tcBorders>
            <w:shd w:val="clear" w:color="auto" w:fill="auto"/>
            <w:vAlign w:val="center"/>
          </w:tcPr>
          <w:p w:rsidR="00B625E3" w:rsidRPr="00C25A2E" w:rsidRDefault="00B625E3" w:rsidP="00B625E3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25A2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Öğrencilerimize yönelik yürütülen yurtiçi eğitim programları (FARABİ) hakkında birimimizde bilgilendirme faaliyetleri artırılacak ve konuyla ilgili sosyal medya hesaplarımız daha aktif kullanılacaktır.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625E3" w:rsidRDefault="00B625E3" w:rsidP="00B625E3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  <w:tr w:rsidR="00B625E3" w:rsidRPr="001A7CB0" w:rsidTr="00C25A2E">
        <w:trPr>
          <w:jc w:val="center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A7CB0">
              <w:rPr>
                <w:rFonts w:ascii="Arial Narrow" w:eastAsia="Calibri" w:hAnsi="Arial Narrow" w:cs="Calibri"/>
                <w:sz w:val="18"/>
                <w:szCs w:val="18"/>
              </w:rPr>
              <w:t>16</w:t>
            </w:r>
          </w:p>
        </w:tc>
        <w:tc>
          <w:tcPr>
            <w:tcW w:w="3550" w:type="dxa"/>
            <w:tcBorders>
              <w:left w:val="single" w:sz="6" w:space="0" w:color="4BACC6"/>
              <w:right w:val="single" w:sz="6" w:space="0" w:color="4BACC6"/>
            </w:tcBorders>
          </w:tcPr>
          <w:p w:rsidR="00B625E3" w:rsidRPr="0079670F" w:rsidRDefault="00B625E3" w:rsidP="00B625E3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Derslere, öğretim üyelerinin yerine düzenli olarak araştırma görevlileri</w:t>
            </w:r>
          </w:p>
          <w:p w:rsidR="00B625E3" w:rsidRPr="0079670F" w:rsidRDefault="00B625E3" w:rsidP="00B625E3">
            <w:pPr>
              <w:spacing w:before="20" w:after="20"/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9670F">
              <w:rPr>
                <w:rFonts w:ascii="Arial Narrow" w:hAnsi="Arial Narrow" w:cs="Arial"/>
                <w:color w:val="000000"/>
                <w:sz w:val="20"/>
                <w:szCs w:val="20"/>
              </w:rPr>
              <w:t>(asistanlar) girmektedir. (T)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Memnuniyet Analizi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5E3" w:rsidRPr="00C25A2E" w:rsidRDefault="00B625E3" w:rsidP="00B625E3">
            <w:pPr>
              <w:ind w:left="0" w:hanging="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25A2E">
              <w:rPr>
                <w:rFonts w:ascii="Arial Narrow" w:eastAsia="Calibri" w:hAnsi="Arial Narrow" w:cs="Arial"/>
                <w:color w:val="000000"/>
                <w:position w:val="0"/>
                <w:sz w:val="20"/>
                <w:szCs w:val="20"/>
              </w:rPr>
              <w:t>Kariyer Planlama Dersi kapsamında, Meslek Yüksekokulumuzda fakülte olmamasından kaynaklı olarak araştırma görevlilerinin bulunmadığı, derslere öğretim üyelerinin yerine araştırma görevlilerinin (asistanlar) giremeyeceği konularında öğrencilerimize bilgi verilecektir.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625E3" w:rsidRDefault="00B625E3" w:rsidP="00B625E3">
            <w:pPr>
              <w:ind w:left="0" w:hanging="2"/>
              <w:jc w:val="center"/>
            </w:pPr>
            <w:r w:rsidRPr="001C7634"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  <w:t>03.02.202531.10.2025</w:t>
            </w:r>
          </w:p>
        </w:tc>
        <w:tc>
          <w:tcPr>
            <w:tcW w:w="1776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Sekreteri</w:t>
            </w:r>
          </w:p>
        </w:tc>
        <w:tc>
          <w:tcPr>
            <w:tcW w:w="1302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  <w:r w:rsidRPr="001A7CB0">
              <w:rPr>
                <w:rFonts w:ascii="Arial Narrow" w:eastAsia="Calibri" w:hAnsi="Arial Narrow" w:cstheme="majorHAnsi"/>
                <w:sz w:val="20"/>
                <w:szCs w:val="20"/>
              </w:rPr>
              <w:t>MYO Müdür/ Müdür Yardımcıları</w:t>
            </w:r>
          </w:p>
        </w:tc>
        <w:tc>
          <w:tcPr>
            <w:tcW w:w="1458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B625E3" w:rsidRPr="001A7CB0" w:rsidRDefault="00B625E3" w:rsidP="00B625E3">
            <w:pPr>
              <w:spacing w:line="240" w:lineRule="auto"/>
              <w:ind w:leftChars="0" w:left="0" w:firstLineChars="0" w:firstLine="0"/>
              <w:jc w:val="center"/>
              <w:rPr>
                <w:rFonts w:ascii="Arial Narrow" w:eastAsia="Calibri" w:hAnsi="Arial Narrow" w:cstheme="majorHAnsi"/>
                <w:color w:val="000000"/>
                <w:sz w:val="20"/>
                <w:szCs w:val="20"/>
              </w:rPr>
            </w:pPr>
          </w:p>
        </w:tc>
      </w:tr>
    </w:tbl>
    <w:p w:rsidR="00600D0C" w:rsidRPr="0076564E" w:rsidRDefault="00600D0C">
      <w:pPr>
        <w:tabs>
          <w:tab w:val="left" w:pos="10245"/>
        </w:tabs>
        <w:ind w:left="0" w:hanging="2"/>
        <w:rPr>
          <w:sz w:val="16"/>
          <w:szCs w:val="16"/>
        </w:rPr>
      </w:pPr>
    </w:p>
    <w:sectPr w:rsidR="00600D0C" w:rsidRPr="00765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0" w:right="482" w:bottom="851" w:left="482" w:header="426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5D" w:rsidRDefault="0088475D">
      <w:pPr>
        <w:spacing w:line="240" w:lineRule="auto"/>
        <w:ind w:left="0" w:hanging="2"/>
      </w:pPr>
      <w:r>
        <w:separator/>
      </w:r>
    </w:p>
  </w:endnote>
  <w:endnote w:type="continuationSeparator" w:id="0">
    <w:p w:rsidR="0088475D" w:rsidRDefault="008847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B" w:rsidRDefault="00960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B" w:rsidRDefault="009607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a"/>
      <w:tblW w:w="15450" w:type="dxa"/>
      <w:tblInd w:w="2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375"/>
      <w:gridCol w:w="6041"/>
      <w:gridCol w:w="3034"/>
    </w:tblGrid>
    <w:tr w:rsidR="0096070B">
      <w:tc>
        <w:tcPr>
          <w:tcW w:w="6375" w:type="dxa"/>
          <w:vAlign w:val="center"/>
        </w:tcPr>
        <w:p w:rsidR="0096070B" w:rsidRDefault="00960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6041" w:type="dxa"/>
          <w:vAlign w:val="center"/>
        </w:tcPr>
        <w:p w:rsidR="0096070B" w:rsidRDefault="00960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 / 0</w:t>
          </w:r>
          <w:r>
            <w:rPr>
              <w:sz w:val="16"/>
              <w:szCs w:val="16"/>
            </w:rPr>
            <w:t>9</w:t>
          </w:r>
          <w:r>
            <w:rPr>
              <w:color w:val="000000"/>
              <w:sz w:val="16"/>
              <w:szCs w:val="16"/>
            </w:rPr>
            <w:t>.12.2021</w:t>
          </w:r>
        </w:p>
      </w:tc>
      <w:tc>
        <w:tcPr>
          <w:tcW w:w="3034" w:type="dxa"/>
          <w:vAlign w:val="center"/>
        </w:tcPr>
        <w:p w:rsidR="0096070B" w:rsidRDefault="00960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326092">
            <w:rPr>
              <w:noProof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326092">
            <w:rPr>
              <w:noProof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96070B">
      <w:tc>
        <w:tcPr>
          <w:tcW w:w="15450" w:type="dxa"/>
          <w:gridSpan w:val="3"/>
          <w:vAlign w:val="center"/>
        </w:tcPr>
        <w:p w:rsidR="0096070B" w:rsidRDefault="00960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96070B" w:rsidRDefault="00960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513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B" w:rsidRDefault="00960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5D" w:rsidRDefault="0088475D">
      <w:pPr>
        <w:spacing w:line="240" w:lineRule="auto"/>
        <w:ind w:left="0" w:hanging="2"/>
      </w:pPr>
      <w:r>
        <w:separator/>
      </w:r>
    </w:p>
  </w:footnote>
  <w:footnote w:type="continuationSeparator" w:id="0">
    <w:p w:rsidR="0088475D" w:rsidRDefault="008847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B" w:rsidRDefault="00960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B" w:rsidRDefault="009607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9"/>
      <w:tblW w:w="1570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85"/>
      <w:gridCol w:w="12315"/>
      <w:gridCol w:w="1605"/>
    </w:tblGrid>
    <w:tr w:rsidR="0096070B">
      <w:trPr>
        <w:trHeight w:val="699"/>
        <w:jc w:val="center"/>
      </w:trPr>
      <w:tc>
        <w:tcPr>
          <w:tcW w:w="1785" w:type="dxa"/>
          <w:tcBorders>
            <w:right w:val="nil"/>
          </w:tcBorders>
          <w:vAlign w:val="center"/>
        </w:tcPr>
        <w:p w:rsidR="0096070B" w:rsidRDefault="00960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-1266</wp:posOffset>
                </wp:positionH>
                <wp:positionV relativeFrom="paragraph">
                  <wp:posOffset>-3806</wp:posOffset>
                </wp:positionV>
                <wp:extent cx="447675" cy="447040"/>
                <wp:effectExtent l="0" t="0" r="0" b="0"/>
                <wp:wrapSquare wrapText="bothSides" distT="0" distB="0" distL="114300" distR="114300"/>
                <wp:docPr id="10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315" w:type="dxa"/>
          <w:tcBorders>
            <w:left w:val="nil"/>
            <w:right w:val="nil"/>
          </w:tcBorders>
          <w:vAlign w:val="center"/>
        </w:tcPr>
        <w:p w:rsidR="0096070B" w:rsidRDefault="0096070B">
          <w:pPr>
            <w:ind w:left="0" w:hanging="2"/>
            <w:jc w:val="center"/>
          </w:pPr>
          <w:r>
            <w:rPr>
              <w:b/>
            </w:rPr>
            <w:t>BURSA ULUDAĞ ÜNİVERSİTESİ</w:t>
          </w:r>
        </w:p>
        <w:p w:rsidR="0096070B" w:rsidRDefault="0096070B">
          <w:pPr>
            <w:ind w:left="0" w:hanging="2"/>
            <w:jc w:val="center"/>
            <w:rPr>
              <w:color w:val="000000"/>
            </w:rPr>
          </w:pPr>
          <w:r>
            <w:rPr>
              <w:b/>
            </w:rPr>
            <w:t>SÜREKLİ İYİLEŞTİRME FORMU</w:t>
          </w:r>
        </w:p>
      </w:tc>
      <w:tc>
        <w:tcPr>
          <w:tcW w:w="1605" w:type="dxa"/>
          <w:tcBorders>
            <w:left w:val="nil"/>
          </w:tcBorders>
          <w:vAlign w:val="center"/>
        </w:tcPr>
        <w:p w:rsidR="0096070B" w:rsidRDefault="00960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5.4.3</w:t>
          </w:r>
          <w:r>
            <w:rPr>
              <w:b/>
            </w:rPr>
            <w:t>_</w:t>
          </w:r>
          <w:r>
            <w:rPr>
              <w:b/>
              <w:color w:val="000000"/>
            </w:rPr>
            <w:t>0</w:t>
          </w:r>
          <w:r>
            <w:rPr>
              <w:b/>
            </w:rPr>
            <w:t>2</w:t>
          </w:r>
        </w:p>
      </w:tc>
    </w:tr>
  </w:tbl>
  <w:p w:rsidR="0096070B" w:rsidRDefault="0096070B">
    <w:pPr>
      <w:spacing w:line="240" w:lineRule="auto"/>
      <w:ind w:left="0" w:hanging="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B" w:rsidRDefault="00960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0C"/>
    <w:rsid w:val="00075B09"/>
    <w:rsid w:val="000C0375"/>
    <w:rsid w:val="00104B12"/>
    <w:rsid w:val="0013593B"/>
    <w:rsid w:val="001A7CB0"/>
    <w:rsid w:val="001C52D6"/>
    <w:rsid w:val="001F26CD"/>
    <w:rsid w:val="0022194A"/>
    <w:rsid w:val="00274252"/>
    <w:rsid w:val="0028648F"/>
    <w:rsid w:val="002A3028"/>
    <w:rsid w:val="002F69F1"/>
    <w:rsid w:val="0030137F"/>
    <w:rsid w:val="00307369"/>
    <w:rsid w:val="00321A57"/>
    <w:rsid w:val="00326092"/>
    <w:rsid w:val="00326D68"/>
    <w:rsid w:val="00342DEE"/>
    <w:rsid w:val="00362024"/>
    <w:rsid w:val="003716A5"/>
    <w:rsid w:val="00372550"/>
    <w:rsid w:val="0037322E"/>
    <w:rsid w:val="0039787F"/>
    <w:rsid w:val="003E22ED"/>
    <w:rsid w:val="0041438A"/>
    <w:rsid w:val="00443311"/>
    <w:rsid w:val="00467009"/>
    <w:rsid w:val="00471846"/>
    <w:rsid w:val="00471AB0"/>
    <w:rsid w:val="004A06EB"/>
    <w:rsid w:val="004A3E5B"/>
    <w:rsid w:val="004A690A"/>
    <w:rsid w:val="004D41B7"/>
    <w:rsid w:val="004D4F21"/>
    <w:rsid w:val="004D67FD"/>
    <w:rsid w:val="004E248F"/>
    <w:rsid w:val="00554FFD"/>
    <w:rsid w:val="00563B12"/>
    <w:rsid w:val="005A6A93"/>
    <w:rsid w:val="005A74D7"/>
    <w:rsid w:val="005C0BFF"/>
    <w:rsid w:val="005C433A"/>
    <w:rsid w:val="005E51F3"/>
    <w:rsid w:val="00600D0C"/>
    <w:rsid w:val="00603D98"/>
    <w:rsid w:val="0061342A"/>
    <w:rsid w:val="00627B86"/>
    <w:rsid w:val="00655261"/>
    <w:rsid w:val="0069421C"/>
    <w:rsid w:val="006E59A5"/>
    <w:rsid w:val="007054F7"/>
    <w:rsid w:val="00725945"/>
    <w:rsid w:val="00725FC8"/>
    <w:rsid w:val="00745E0A"/>
    <w:rsid w:val="0076564E"/>
    <w:rsid w:val="0079670F"/>
    <w:rsid w:val="007F0B3E"/>
    <w:rsid w:val="007F3824"/>
    <w:rsid w:val="007F55C2"/>
    <w:rsid w:val="008708FB"/>
    <w:rsid w:val="0088475D"/>
    <w:rsid w:val="008A637F"/>
    <w:rsid w:val="0096070B"/>
    <w:rsid w:val="009773CC"/>
    <w:rsid w:val="009D4792"/>
    <w:rsid w:val="00A06FCB"/>
    <w:rsid w:val="00A07951"/>
    <w:rsid w:val="00A25278"/>
    <w:rsid w:val="00A332B0"/>
    <w:rsid w:val="00A34043"/>
    <w:rsid w:val="00A56BAB"/>
    <w:rsid w:val="00A81DE1"/>
    <w:rsid w:val="00A85ED4"/>
    <w:rsid w:val="00B625E3"/>
    <w:rsid w:val="00B700D9"/>
    <w:rsid w:val="00B743F8"/>
    <w:rsid w:val="00B8504F"/>
    <w:rsid w:val="00B91D5C"/>
    <w:rsid w:val="00BC41DC"/>
    <w:rsid w:val="00BD13F8"/>
    <w:rsid w:val="00C25A2E"/>
    <w:rsid w:val="00C94515"/>
    <w:rsid w:val="00CC2546"/>
    <w:rsid w:val="00D229BF"/>
    <w:rsid w:val="00E12FF0"/>
    <w:rsid w:val="00E27910"/>
    <w:rsid w:val="00E30111"/>
    <w:rsid w:val="00EC3200"/>
    <w:rsid w:val="00F11842"/>
    <w:rsid w:val="00F3153B"/>
    <w:rsid w:val="00F92A86"/>
    <w:rsid w:val="00F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0106F-6B06-4985-986C-305B0A14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  <w:lang w:val="tr-TR" w:eastAsia="tr-TR" w:bidi="ar-SA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ltBilgiChar0">
    <w:name w:val="Alt Bilgi Char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2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NUhxDQlqshxpTfh6O4NpSFxGmg==">AMUW2mWqfXDWXvYTIqjE+5wtzXSOHgQ2L0hoDLARdVoPVmToTjDcXfgA82+6Ip7KwYIiQOL5j8KsNfV4CctEI6tB0NVFjkWbnVugPGP7wAjHRJ8FG7hRy14J3fZafGGnKnC0NWF3ES56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22A79C-4749-4475-B513-70632C80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ASUS</cp:lastModifiedBy>
  <cp:revision>2</cp:revision>
  <dcterms:created xsi:type="dcterms:W3CDTF">2025-02-01T06:49:00Z</dcterms:created>
  <dcterms:modified xsi:type="dcterms:W3CDTF">2025-02-01T06:49:00Z</dcterms:modified>
</cp:coreProperties>
</file>